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方正小标宋_GBK" w:cs="方正小标宋_GBK" w:asciiTheme="minorAscii" w:hAnsiTheme="minorAscii"/>
          <w:sz w:val="44"/>
          <w:szCs w:val="56"/>
        </w:rPr>
      </w:pPr>
      <w:r>
        <w:rPr>
          <w:rFonts w:hint="default" w:eastAsia="方正小标宋_GBK" w:cs="方正小标宋_GBK" w:asciiTheme="minorAscii" w:hAnsiTheme="minorAscii"/>
          <w:sz w:val="44"/>
          <w:szCs w:val="56"/>
        </w:rPr>
        <w:t>市委、市政府印发《质量强市建设实施方案》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近日，中共重庆市委、重庆市人民政府印发了《质量强市建设实施方案》，并发出通知，要求各区县各部门各单位结合实际认真抓好贯彻落实。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黑体_GBK" w:cs="方正黑体_GBK" w:asciiTheme="minorAscii" w:hAnsiTheme="minorAscii"/>
        </w:rPr>
      </w:pPr>
      <w:r>
        <w:rPr>
          <w:rFonts w:hint="default" w:eastAsia="方正黑体_GBK" w:cs="方正黑体_GBK" w:asciiTheme="minorAscii" w:hAnsiTheme="minorAscii"/>
        </w:rPr>
        <w:t>《质量强市建设实施方案》全文如下。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为全面提高我市质量总体水平，推动高质量发展、创造高品质生活，根据《质量强国建设纲要》，结合重庆实际</w:t>
      </w:r>
      <w:bookmarkStart w:id="0" w:name="_GoBack"/>
      <w:bookmarkEnd w:id="0"/>
      <w:r>
        <w:rPr>
          <w:rFonts w:hint="default" w:eastAsia="方正仿宋_GB2312" w:cs="方正仿宋_GB2312" w:asciiTheme="minorAscii" w:hAnsiTheme="minorAscii"/>
        </w:rPr>
        <w:t>，制定本实施方案。</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黑体_GBK" w:cs="方正黑体_GBK" w:asciiTheme="minorAscii" w:hAnsiTheme="minorAscii"/>
        </w:rPr>
      </w:pPr>
      <w:r>
        <w:rPr>
          <w:rFonts w:hint="default" w:eastAsia="方正黑体_GBK" w:cs="方正黑体_GBK" w:asciiTheme="minorAscii" w:hAnsiTheme="minorAscii"/>
        </w:rPr>
        <w:t>总体要求</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指导思想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以习近平新时代中国特色社会主义思想为指导，全面贯彻落实党的二十大和二十届二中全会精神，深入学习贯彻习近平总书记关于质量工作的重要论述和对重庆作出的重要指示批示精神，认真落实市委六届二次全会决策部署，完整、准确、全面贯彻新发展理念，以推动高质量发展为主题，以提高供给质量为主攻方向，深入实施质量强国战略，构建更加适配的质量供给体系、更高水平的质量支撑体系、更加完善的质量保障体系，聚力打造产业质量竞争力新高地、高质量产品集聚地、优质化工程示范地、高品质服务引领地，全方位建设质量强市、标准强市、品牌强市、制造强市，为新时代新征程全面建设社会主义现代化新重庆提供质量支撑。</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主要目标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到2027年，全市质量整体水平明显提升，重庆质量品牌影响力显著增强，人民群众质量获得感、满意度明显增强，质量强市建设取得标志性进展，迈入全国第一方阵。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产业质量竞争力走在全国前列。产业转型升级步伐加快，现代化产业体系建设取得重大进展，制造业质量竞争力指数达到92以上，质量竞争型产业规模显著扩大，全国优势农业特色产业集群达到10个，服务业新体系更加优质高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产品质量水平大幅跃升。农产品质量安全例行监测合格率达到98.3%以上，食品抽检合格率达到98.2%以上，制造业产品和消费品质量合格率均达到95%以上，生产领域和流通领域药品抽检合格率分别达到99.8%、99.5%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——工程质量水平稳步提升。工程质量常见问题治理取得显著进步，装配式建筑面积占新建建筑面积的比例达到35%，城镇新建绿色建筑占比达到100%，重大建设工程竣工验收合格率保持100%。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服务质量水平全面提升。服务业供给有效满足产业转型升级和居民消费升级需要，生产服务专业化水平更高，生活服务品质明显升级，公共服务质量满意度达到82分、进入全国一流行列，生活性服务业质量满意度达到81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质量支撑能力显著增强。国家级质量品牌总量和品牌价值实现“双倍增”，争创全国质量强国标杆城市2个、全国质量品牌提升示范区3个。争创国家质量基础设施集成服务基地和国家级质量标准实验室，主导或参与制定（修订）国际标准10项、国家标准700项。数字赋能质量变革取得重大进展，质量创新动能明显增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——质量治理体系更加完善。质量政策法规更加健全，智慧监管、信用监管、综合监管体系有效运行。市场主体质量意识和全民质量素养显著增强，质量发展环境更加优化。质量人才队伍持续壮大。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到2035年，全市质量和品牌综合实力达到全国先进水平，先进质量文化蔚然成风，质量强市基本建成。</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黑体_GBK" w:cs="方正黑体_GBK" w:asciiTheme="minorAscii" w:hAnsiTheme="minorAscii"/>
        </w:rPr>
      </w:pPr>
      <w:r>
        <w:rPr>
          <w:rFonts w:hint="default" w:eastAsia="方正黑体_GBK" w:cs="方正黑体_GBK" w:asciiTheme="minorAscii" w:hAnsiTheme="minorAscii"/>
        </w:rPr>
        <w:t>构建更加适配的质量供给体系</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推动重庆产业质量竞争力增强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增强产业基础质量支撑。加快产业基础高级化进程，针对产业链质量薄弱环节，开展研发和应用验证，提升关键基础材料、基础零部件与元器件质量水平，提高产业链供应链稳定性和竞争力。实施产业基础再造攻关项目，加强产业技术基础能力建设，推进基础制造工艺与质量管理、数字智能、网络技术深度融合。支持软件开发，努力实现工业质量分析与控制软件关键技术突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提高产业质量竞争水平。推进质量、标准、品牌融合发展，以先进标准引领质量提升，以更高质量打造知名质量品牌，以质量品牌优势推动产业质量效益升级。推进农业品种培优、品质提升、品牌打造和标准化生产。开展制造业提质增效行动，推进传统制造业迭代升级和战略性新兴产业技术、质量、管理协同创新，推动“芯屏器核网”全产业链质量竞争力提升。大力发展服务型制造，推动制造业高端化、智能化、绿色化发展。推动完善服务业质量标准，加强服务业质量监测，推动生产性服务业向专业化和价值链高端延伸，推动生活性服务业向高品质和多样化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3.提升产业集群质量引领力。围绕打造“33618”现代制造业集群体系，组建一批产业集群质量标准创新合作平台，构建质量创新协同、质量管理融合、企业分工协作的质量生态，培育形成一批具有质量引领力的产业集群。推动制造业创新中心、产业集群公共服务综合体建设，争创一批产业技术基础公共服务平台。依托西部（重庆）科学城、两江协同创新区等，打造质量、技术、管理创新策源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4.推动成渝地区双城经济圈质量一体化发展。建立健全川渝、成渝和毗邻地区质量合作机制，协同推进质量一体化发展，共优商品质量体系，共促质量基础设施互联互通，共强产业链供应链，共建质量人才队伍。实施川渝区域品牌塑造工程，培育一批“川渝名品”。</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推动重庆产品高端化发展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5.实施农产品质量提升工程。完善农产品质量追溯平台，构建农产品全过程大数据管理模式，积极推动规模以上市场主体入网监管，推行承诺达标合格证制度。深入开展食用农产品“治违禁、控药残、促提升”行动。大力发展绿色、有机等优质农产品，加强绿色优质农产品基地和现代农业全产业链标准化基地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6.实施食品药品质量安全提升工程。严格落实“四个最严”要求，坚持党政同责，落实属地管理责任，狠抓企业主体责任落实，加强全主体、全品种、全链条监管。调整优化食品产业布局，推动完善食品安全标准体系，争创国家食品安全示范城市。加强药品和疫苗全生命周期管理，推动临床急需和罕见病治疗药品、医疗器械加速上市，提高药品检验检测和生物制品（疫苗）批签发能力。持续推进仿制药质量和疗效一致性评价。大力发展生物药、肿瘤治疗药物、新型血液制品等医药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7.实施消费品质量升级工程。开展消费品质量提升行动，以新技术、新业态、新标准推动消费品质量提升。加强产品前瞻性功能研发，推行高端品质认证，推广个性化定制、柔性化生产，推动传统消费品迭代创新。鼓励食品行业开发更贴近新零售特征的个性化、多样化、品牌化产品，加快发展保健食品和满足特定人群需求的功能性食品，培育特色细分产业。实施商品市场优化升级专项行动，拓展商品市场线上交易新形态。鼓励优质消费品进口，推进内外贸产品同线同标同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8.实施工业品质量升级工程。发挥工业设计对质量提升的牵引作用，加强研发设计、生产制造、售后服务全过程质量控制。实施质量可靠性提升计划，推动汽车、电子、机械装备、轨道交通等产品及其基础零部件可靠性、耐久性、先进性提升。实施“机器换人”计划，加快传统装备智能化改造，大力发展高质量通用智能装备。落实首台（套）重大技术装备检测评定、推广应用制度，完善重大工程设备监理制度。</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推动重庆工程高品质建造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9.强化工程质量保障。全面落实工程建设各方主体及项目负责人质量责任，构建建设单位负首要责任的质量主体责任体系，强化质量责任追溯追究。推进工程质量管理标准化建设，实施工程施工岗位责任制，加强全过程质量管控，强化工程建设全链条质量监管。健全工程质量监管机制，强化工程质量常见问题防治，完善工程质量投诉、质量保修等制度。加强工程质量监督队伍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10.提高建筑材料质量。加快新型建材研发和应用，推动传统建材升级换代，大力发展绿色建材，鼓励发展装配式建筑部品部件。落实建材生产和供应单位终身责任，严格建材使用单位质量责任。加强建材产品质量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11.打造重庆建造升级版。推进智能建造与建筑工业化协同发展，推动完善智能建造技术标准体系，加强工程建设工法研发，鼓励试点应用装配式建造技术。推动工程建设优质化、品牌化发展，建设“平安百年”品质工程，塑造“十年路面百年桥”建造品牌形象，积极争创鲁班奖、李春奖、大禹奖。</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推动重庆服务高质量供给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12.提高生产服务专业化水平。推进现代服务业和先进制造业、现代农业深度融合。大力发展农技推广、生产托管、代耕代种等农业社会化服务，提高服务标准化水平。大力发展智能化解决方案、流程再造等服务，提升工业设计、检验检测、知识产权、质量咨询等科技服务质量。大力推进港口、车站、机场等物流业务流程再造和物流服务标准化、数字化发展。推进普惠金融、绿色金融、科创金融、供应链金融发展。规范发展网上销售、直播电商等新业态新模式。提升特种设备安装、维修、保养质量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13.促进生活服务品质升级。加强大众餐饮卫生、质量监管，提高质量安全水平，建设“美食之都”。推进家政、物业管理、房屋租赁服务专业化、规范化发展，培育优质服务品牌。规范旅游市场秩序，改善旅游消费体验，提升旅游服务供给品质，打造乡村旅游、康养旅游、红色旅游等精品项目。大力发展公共交通、轨道交通，引导网约出租车、定制公交等个性化出行服务规范发展。培育体育赛事、社区健身等服务项目，提升公共体育场馆开放服务品质。推进生活性服务业数字化转型，建设新型消费体验中心，加强无接触购物、在线消费、在线教育、在线医疗等新业态新模式质量管理。推行优质服务承诺、认证、标识制度，强化服务质量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14.提升公共服务质量效率。加强便民服务设施建设和公共配套设施适老化、适儿化、无障碍改造，推动提升城乡居民生活便利化、品质化水平。推进政务服务联动审批、一网通办、跨省通办，优化“渝快办”服务平台功能。加快构建高质量教育体系，推进基础教育公平优质发展，发展现代职业教育，建设一流大学和一流学科。推进公共文化场馆数字化发展，加快巴蜀文化旅游走廊建设，丰富公共文化服务供给。加强基层公共就业创业服务平台建设，强化职业技能培训、用工指导等公共就业服务。推动养老服务质量标准制修订，完善基本养老服务制度。健全医疗质量管理体系，完善城乡医疗服务网络，逐步扩大城乡家庭医生签约服务覆盖范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黑体_GBK" w:cs="方正黑体_GBK" w:asciiTheme="minorAscii" w:hAnsiTheme="minorAscii"/>
        </w:rPr>
      </w:pPr>
      <w:r>
        <w:rPr>
          <w:rFonts w:hint="default" w:eastAsia="方正黑体_GBK" w:cs="方正黑体_GBK" w:asciiTheme="minorAscii" w:hAnsiTheme="minorAscii"/>
        </w:rPr>
        <w:t>构建更高水平的质量支撑体系</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不断壮大重庆质量品牌矩阵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15.塑造重庆质量品牌。建立市场主导、政府推动的品牌发展机制，加强分类指导、梯次培育，支持企业创建质量品牌，打造“百年老店”。开展增品种、提品质、创品牌行动，做大“重庆制造”品牌，打造“重庆工程”品牌，擦亮“重庆服务”金名片。实施高端品牌引领工程，支持争创中国质量奖，完善市长质量管理奖评选制度。支持重庆火锅、重庆小面等品牌化发展，培育保护、传承振兴“老字号”。推进“品牌强农”工程，创建一批农产品区域公用品牌。推动健全品牌标准体系，打造一批自主创新、品质高端、信誉过硬、市场公认的重庆精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16.加强质量品牌推广。组织开展“中国品牌日”重庆特色活动，依托各类博览会、展销会，加强融合传播、营销传播、国际传播，大力推广重庆品牌，讲好质量品牌故事，传播重庆品牌文化。建立企业自我保护、行政保护、司法保护“三位一体”的品牌保护体系，支持企业导入先进品牌培育管理体系，加强品牌保护和维权，依法依规严厉打击品牌仿冒、商标侵权等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17.提高企业质量管理能力。鼓励企业实施以质取胜战略，加强全面质量管理，倡导中小企业走“专精特新”发展之路。加大质量技术创新投入，推动汽车核心软件、人工智能、高端器件与芯片、先进制造、生物医药等重点领域质量创新。推进优质企业培育计划，开展“大手牵小手”行动，将质量标杆企业、“链主”企业先进质量理念、质量管理模式、质量技术资源向产业链两端延伸。</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不断提升质量基础设施服务效能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18.提升重庆标准先进性。坚持标准引领，深入实施标准化战略，开展“标准化+”行动，推动标准化与农业、工业、服务业和社会事业等领域深度融合。迭代升级“重庆制造”先进标准体系，支持组建一批产业技术标准创新联盟，主导和参与制定（修订）一批国际标准、国家标准、行业标准和先进团体标准。围绕数字经济、智能网联新能源汽车、生命健康、新材料、高端装备、节能降耗等重点领域，争创一批国家技术标准创新基地、国家标准验证点，积极开展国家级、市级标准化试点示范项目建设。强化“重庆工程”高标准引领，加快绿色建筑、装配式建筑等重点领域地方标准制定，推动建筑部品、住宅部品、构配件系列化、标准化、通用化发展。构建高水平“重庆服务”标准体系，开展一批服务业标准化试点，加强平台经济等新兴服务业标准研制，积极探索推动西部陆海新通道物流标准化，推进快递电子运单、物流信息、多式联运等重要标准制修订。围绕提高基本公共服务供给质量和均等化水平目标，推动制定完善幼儿园、中小学等公共服务单位与设施的建设标准、配置标准和营运标准，落实健康乡镇、健康村、医疗机构建设标准和医院等级评审标准，加强劳动就业、养老保险、医疗保险、社会救助等重点领域服务标准供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19.提升重庆测量精准性。加快社会公用计量标准器具升级换代，建立新一代量值传递溯源体系。围绕全市战略性新兴产业、高新技术产业和先进制造业等重点领域需求，加强计量测试技术、装备和方法研制，建成一批国家产业计量测试中心、计量检测中心和重点实验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20.提升重庆检测权威性。建成国家检验检测认证公共服务平台示范区、国家检验检测高技术服务业集聚区，加强对检验检测服务业发展的规划引导和规范管理，培育千亿级检验检测产业集群。健全智能网联新能源汽车、新一代电子信息制造业、先进材料、智能装备及智能制造、食品及农产品加工、软件信息服务等重点产业的检验检测支撑体系，提升绿色低碳、生态环保、社会公共安全、人身健康安全、贸易安全等重点领域的检验检测保障能力。加强导航卫星、机器人、轨道交通装备、风电机组等高端装备的检验检测能力建设，突破一批基础性、公益性和产业共性检验检测技术瓶颈。加强高端检测技术装备研发制造，加快检验检测数字化、智能化转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21.提升重庆认证公正性。持续推进小微企业质量管理体系认证提升行动，推行绿色产品、有机产品、金融科技产品、城市轨道交通产品、无人机等认证，开展富硒、无抗认证等地方特色认证，推广服务认证，推动认证结果采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22.提升质量基础设施集成服务高效性。实施质量基础设施拓展伙伴计划，合理布局区域、产业质量技术服务机构，推行“一站式”服务。鼓励社会力量参与质量基础设施建设，建设一批企业技术中心，创建国家级质量标准实验室，协同推进科技创新、质量基础设施建设和产业竞争力提升。推动政产学研用深度融合，支持产业链上下游企业、研发机构、检验检测机构等围绕技术研发、标准制定、批量生产等环节开展协同创新。争创国家质量创新先导区。</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楷体_GBK" w:cs="方正楷体_GBK" w:asciiTheme="minorAscii" w:hAnsiTheme="minorAscii"/>
        </w:rPr>
      </w:pPr>
      <w:r>
        <w:rPr>
          <w:rFonts w:hint="default" w:eastAsia="方正楷体_GBK" w:cs="方正楷体_GBK" w:asciiTheme="minorAscii" w:hAnsiTheme="minorAscii"/>
        </w:rPr>
        <w:t>不断完善现代化质量治理体系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23.加强质量法治建设。推进质量领域地方性法规、规章的立改废释工作。依法依规打击质量违法行为，维护企业公平竞争权益和消费者权益。支持开展质量公益诉讼和集体诉讼，有效执行商品质量惩罚性赔偿制度。健全质量担保与争议处理机制，完善产品损害赔偿、质量保证金、产品责任险等多元救济机制，推行消费争议先行赔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24.加快质量数字化建设。开展质量管理数字化赋能行动，推动“质量重庆”数字化建设，推进全流程质量监管、全要素质量基础、全领域质量服务、全方位质量提升。构建多跨融合的“大质量”数据库，描绘全市市场主体质量画像，开发质量分析等数字应用。推进“山城有信”等数字化场景应用，打造智慧便捷、公平普惠的数字化质量服务体系。鼓励企业加快质量管理数字化转型，推动建设未来工厂、智能制造示范工厂，强化数字化设计、智能化生产、精益化管理、个性化定制、网络化协同、模型化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25.加强质量信用建设。加大质量信用信息归集力度，建设质量信用信息库。建立质量信用分级分类制度，提升企业质量诚信意识。落实企业质量信用主体责任，推动质量信用结果在政府采购、招标投标、银行信贷等领域的应用，建立企业信用失信惩戒机制。鼓励企业编制质量信用报告并向社会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26.优化质量安全监管效能。健全以“双随机、一公开”监管和“互联网+监管”为基本手段、以重点监管为补充、以信用监管为基础、以智慧监管为支撑的新型监管机制，推进重点领域跨部门跨行业跨区域综合监管。健全质量分级分类监管机制，完善质量安全风险监控机制，加强产品质量监督抽查，构建重点产品质量安全追溯体系。严格进出口商品质量安全检验监管，持续完善进出口商品质量安全风险预警和快速反应监管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27.加强国内国际质量交流合作。对接京津冀、长三角、粤港澳大湾区等区域，建立质量共商共建互认机制，共建全国统一大市场。紧紧围绕共建“一带一路”、建设西部陆海新通道等国家战略，建立双（多）边质量交流合作机制，推动重点领域消费品标准与国际接轨，着力提升规则制度标准“软联通”水平，助力重庆产品、工程、服务“走出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28.加强质量人才队伍建设。推行企业首席质量官制度，培育一批质量领军人才。完善质量专业技术技能人才职业培训制度和职称制度，实现职称制度与职业资格制度有效衔接，培育壮大一批质量经理和质量工程师。推进“巴渝工匠”终身职业技能培训工程，培养一批质量领域优秀技能人才。实施全民质量素质提升工程，将质量内容纳入义务教育，加快高等院校质量学科建设，加强全员质量教育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29.健全质量政策制度。建立质量统计制度，完善质量激励机制，健全政府质量奖励制度。建立产品质量安全事故强制报告制度、产品质量安全风险监控及风险调查制度。建立质量融资增信体系，加大对企业质量创新的金融扶持力度。建立产品和服务质量分级制度。完善政府采购政策和招投标制度，推动形成需求引领、优质优价、优质优先的采购制度，加强标后合同履约监管。落实首台（套）重大技术装备应用支持政策。完善质量发展经费保障机制，将质量工作经费纳入各级财政预算，工业、科技等资金更多投向质量领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仿宋_GB2312" w:cs="方正仿宋_GB2312" w:asciiTheme="minorAscii" w:hAnsiTheme="minorAscii"/>
        </w:rPr>
        <w:t>30.构建多元治理新局面。深入开展“党建引领、质量提升”活动。构建市场主体自治、行业自律、社会监督、政府监管的社会共治格局。深入开展全民质量行动，广泛开展“全国质量月”活动，支持群团组织、一线班组开展质量改进、质量创新、劳动技能竞赛等群众性质量活动。鼓励质量技术服务机构、社团组织开展标准制定、比较试验、品牌建设、质量管理、消费评价等技术服务。强化质量工作舆论监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eastAsia="方正黑体_GBK" w:cs="方正黑体_GBK" w:asciiTheme="minorAscii" w:hAnsiTheme="minorAscii"/>
        </w:rPr>
      </w:pPr>
      <w:r>
        <w:rPr>
          <w:rFonts w:hint="default" w:eastAsia="方正黑体_GBK" w:cs="方正黑体_GBK" w:asciiTheme="minorAscii" w:hAnsiTheme="minorAscii"/>
        </w:rPr>
        <w:t>构建更加完善的质量保障体系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楷体_GBK" w:cs="方正楷体_GBK" w:asciiTheme="minorAscii" w:hAnsiTheme="minorAscii"/>
        </w:rPr>
        <w:t>（一）完善组织领导机制。</w:t>
      </w:r>
      <w:r>
        <w:rPr>
          <w:rFonts w:hint="default" w:eastAsia="方正仿宋_GB2312" w:cs="方正仿宋_GB2312" w:asciiTheme="minorAscii" w:hAnsiTheme="minorAscii"/>
        </w:rPr>
        <w:t>加强党对质量工作的全面领导，把党的领导贯彻到质量工作的各领域各方面各环节。建立质量强市建设协调推进领导小组，实行工作例会制度，加强质量强市建设工作的统筹协调，强化部门协同、上下联动，形成工作合力。各级党委和政府、市级有关部门要将质量强市建设工作列入重要议事日程，制定年度工作计划，明确目标任务，压实工作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楷体_GBK" w:cs="方正楷体_GBK" w:asciiTheme="minorAscii" w:hAnsiTheme="minorAscii"/>
        </w:rPr>
        <w:t>（二）完善工作推进机制。</w:t>
      </w:r>
      <w:r>
        <w:rPr>
          <w:rFonts w:hint="default" w:eastAsia="方正仿宋_GB2312" w:cs="方正仿宋_GB2312" w:asciiTheme="minorAscii" w:hAnsiTheme="minorAscii"/>
        </w:rPr>
        <w:t>强化产业、财政、金融、科技、贸易、环境、人才等政策与质量政策协同，建立闭环落实机制。深化质量强区（县）建设，推动质量强园、质量强企纵深发展，打造质量强市建设示范区（县）。对推进质量强市建设成效突出地方予以督查激励；对在质量工作中作出突出贡献的单位和个人，按照国家有关规定予以表彰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楷体_GBK" w:cs="方正楷体_GBK" w:asciiTheme="minorAscii" w:hAnsiTheme="minorAscii"/>
        </w:rPr>
        <w:t>（三）完善质量考核机制。</w:t>
      </w:r>
      <w:r>
        <w:rPr>
          <w:rFonts w:hint="default" w:eastAsia="方正仿宋_GB2312" w:cs="方正仿宋_GB2312" w:asciiTheme="minorAscii" w:hAnsiTheme="minorAscii"/>
        </w:rPr>
        <w:t>深化质量工作考核，将考核结果纳入各级党政领导班子和领导干部政绩考核内容，推动质量强市建设工作“赛马比拼”。建立健全质量督促检查和整改落实机制。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方正仿宋_GB2312" w:cs="方正仿宋_GB2312" w:asciiTheme="minorAscii" w:hAnsiTheme="minorAscii"/>
        </w:rPr>
      </w:pPr>
      <w:r>
        <w:rPr>
          <w:rFonts w:hint="default" w:eastAsia="方正楷体_GBK" w:cs="方正楷体_GBK" w:asciiTheme="minorAscii" w:hAnsiTheme="minorAscii"/>
        </w:rPr>
        <w:t>（四）完善宣传教育机制。</w:t>
      </w:r>
      <w:r>
        <w:rPr>
          <w:rFonts w:hint="default" w:eastAsia="方正仿宋_GB2312" w:cs="方正仿宋_GB2312" w:asciiTheme="minorAscii" w:hAnsiTheme="minorAscii"/>
        </w:rPr>
        <w:t>把质量工作相关内容纳入各级党校（行政院校）和各类干部培训教学计划。发挥新闻媒体宣传引导作用，传播先进质量理念，宣传最佳质量实践案例，曝光制售假冒伪劣产品等违法行为。引导社会力量参与质量文化建设，鼓励创作体现质量文化特色的影视和文学作品。创新宣传推介方式和拓宽宣传推介渠道，不断提升质量强市建设主题宣传成效。</w:t>
      </w:r>
    </w:p>
    <w:sectPr>
      <w:footerReference r:id="rId3" w:type="default"/>
      <w:pgSz w:w="11906" w:h="16838"/>
      <w:pgMar w:top="2098" w:right="1474" w:bottom="1984" w:left="1587" w:header="851" w:footer="141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D2AC1B5-BBC7-44C6-BBD7-B943B5EE0B86}"/>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2" w:fontKey="{2E766F68-EA3F-4B52-910E-3AD66AEEDDFB}"/>
  </w:font>
  <w:font w:name="方正仿宋_GB18030">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劲颜体">
    <w:panose1 w:val="0201060001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5C5EC24C-44B3-43F5-9421-2DF39173BCB6}"/>
  </w:font>
  <w:font w:name="方正黑体_GBK">
    <w:panose1 w:val="03000509000000000000"/>
    <w:charset w:val="86"/>
    <w:family w:val="auto"/>
    <w:pitch w:val="default"/>
    <w:sig w:usb0="00000001" w:usb1="080E0000" w:usb2="00000000" w:usb3="00000000" w:csb0="00040000" w:csb1="00000000"/>
    <w:embedRegular r:id="rId4" w:fontKey="{8E569A05-5818-4459-821A-8CE8651951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rPr>
                              <w:sz w:val="21"/>
                              <w:szCs w:val="52"/>
                            </w:rPr>
                            <w:fldChar w:fldCharType="begin"/>
                          </w:r>
                          <w:r>
                            <w:rPr>
                              <w:sz w:val="21"/>
                              <w:szCs w:val="52"/>
                            </w:rPr>
                            <w:instrText xml:space="preserve"> PAGE  \* MERGEFORMAT </w:instrText>
                          </w:r>
                          <w:r>
                            <w:rPr>
                              <w:sz w:val="21"/>
                              <w:szCs w:val="52"/>
                            </w:rPr>
                            <w:fldChar w:fldCharType="separate"/>
                          </w:r>
                          <w:r>
                            <w:rPr>
                              <w:sz w:val="21"/>
                              <w:szCs w:val="52"/>
                            </w:rPr>
                            <w:t>1</w:t>
                          </w:r>
                          <w:r>
                            <w:rPr>
                              <w:sz w:val="21"/>
                              <w:szCs w:val="5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rPr>
                        <w:sz w:val="21"/>
                        <w:szCs w:val="52"/>
                      </w:rPr>
                      <w:fldChar w:fldCharType="begin"/>
                    </w:r>
                    <w:r>
                      <w:rPr>
                        <w:sz w:val="21"/>
                        <w:szCs w:val="52"/>
                      </w:rPr>
                      <w:instrText xml:space="preserve"> PAGE  \* MERGEFORMAT </w:instrText>
                    </w:r>
                    <w:r>
                      <w:rPr>
                        <w:sz w:val="21"/>
                        <w:szCs w:val="52"/>
                      </w:rPr>
                      <w:fldChar w:fldCharType="separate"/>
                    </w:r>
                    <w:r>
                      <w:rPr>
                        <w:sz w:val="21"/>
                        <w:szCs w:val="52"/>
                      </w:rPr>
                      <w:t>1</w:t>
                    </w:r>
                    <w:r>
                      <w:rPr>
                        <w:sz w:val="21"/>
                        <w:szCs w:val="5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C52F5"/>
    <w:multiLevelType w:val="singleLevel"/>
    <w:tmpl w:val="8B0C52F5"/>
    <w:lvl w:ilvl="0" w:tentative="0">
      <w:start w:val="1"/>
      <w:numFmt w:val="chineseCounting"/>
      <w:suff w:val="nothing"/>
      <w:lvlText w:val="%1、"/>
      <w:lvlJc w:val="left"/>
      <w:pPr>
        <w:ind w:left="0" w:firstLine="420"/>
      </w:pPr>
      <w:rPr>
        <w:rFonts w:hint="eastAsia"/>
      </w:rPr>
    </w:lvl>
  </w:abstractNum>
  <w:abstractNum w:abstractNumId="1">
    <w:nsid w:val="9DC68757"/>
    <w:multiLevelType w:val="singleLevel"/>
    <w:tmpl w:val="9DC68757"/>
    <w:lvl w:ilvl="0" w:tentative="0">
      <w:start w:val="1"/>
      <w:numFmt w:val="chineseCounting"/>
      <w:suff w:val="nothing"/>
      <w:lvlText w:val="（%1）"/>
      <w:lvlJc w:val="left"/>
      <w:pPr>
        <w:ind w:left="0" w:firstLine="420"/>
      </w:pPr>
      <w:rPr>
        <w:rFonts w:hint="eastAsia"/>
      </w:rPr>
    </w:lvl>
  </w:abstractNum>
  <w:abstractNum w:abstractNumId="2">
    <w:nsid w:val="2050853F"/>
    <w:multiLevelType w:val="singleLevel"/>
    <w:tmpl w:val="2050853F"/>
    <w:lvl w:ilvl="0" w:tentative="0">
      <w:start w:val="1"/>
      <w:numFmt w:val="chineseCounting"/>
      <w:suff w:val="nothing"/>
      <w:lvlText w:val="（%1）"/>
      <w:lvlJc w:val="left"/>
      <w:pPr>
        <w:ind w:left="0" w:firstLine="420"/>
      </w:pPr>
      <w:rPr>
        <w:rFonts w:hint="eastAsia"/>
      </w:rPr>
    </w:lvl>
  </w:abstractNum>
  <w:abstractNum w:abstractNumId="3">
    <w:nsid w:val="28B67895"/>
    <w:multiLevelType w:val="singleLevel"/>
    <w:tmpl w:val="28B67895"/>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mZjM0M2Y4OGMwMWVjNzUzY2I3NDRhN2NlNGUwZGEifQ=="/>
  </w:docVars>
  <w:rsids>
    <w:rsidRoot w:val="1A39173A"/>
    <w:rsid w:val="09AA150A"/>
    <w:rsid w:val="10655443"/>
    <w:rsid w:val="1A39173A"/>
    <w:rsid w:val="1CAC6A9F"/>
    <w:rsid w:val="1DC3198E"/>
    <w:rsid w:val="352A20FA"/>
    <w:rsid w:val="7C0F4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K" w:cs="方正小标宋_GBK" w:asciiTheme="minorAscii" w:hAnsiTheme="minorAscii"/>
      <w:kern w:val="2"/>
      <w:sz w:val="32"/>
      <w:szCs w:val="4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2023-08-01T01:08:00Z</dcterms:created>
  <dc:creator>"喵呜</dc:creator>
  <cp:lastModifiedBy>"喵呜</cp:lastModifiedBy>
  <dcterms:modified xsi:type="dcterms:W3CDTF">2023-08-01T01:20:50Z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F969050BA3014E4691A8CB7F9DC18522_11</vt:lpwstr>
  </property>
</Properties>
</file>